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E04" w:rsidRPr="005C18B6" w:rsidRDefault="00C41E04" w:rsidP="00313F92">
      <w:pPr>
        <w:tabs>
          <w:tab w:val="left" w:pos="5565"/>
        </w:tabs>
        <w:rPr>
          <w:rFonts w:ascii="Calibri" w:hAnsi="Calibri" w:cs="Calibri"/>
        </w:rPr>
      </w:pPr>
    </w:p>
    <w:p w:rsidR="00C41E04" w:rsidRPr="00426C9B" w:rsidRDefault="00C41E04" w:rsidP="007065F3">
      <w:pPr>
        <w:spacing w:line="14" w:lineRule="exact"/>
        <w:contextualSpacing/>
        <w:rPr>
          <w:vanish/>
          <w:sz w:val="2"/>
          <w:szCs w:val="20"/>
        </w:rPr>
      </w:pPr>
    </w:p>
    <w:p w:rsidR="00C41E04" w:rsidRPr="00426C9B" w:rsidRDefault="00C41E04" w:rsidP="007065F3">
      <w:pPr>
        <w:spacing w:line="14" w:lineRule="exact"/>
        <w:contextualSpacing/>
        <w:rPr>
          <w:vanish/>
          <w:sz w:val="2"/>
          <w:szCs w:val="20"/>
        </w:rPr>
      </w:pPr>
    </w:p>
    <w:p w:rsidR="00C41E04" w:rsidRPr="00426C9B" w:rsidRDefault="00C41E04" w:rsidP="007065F3">
      <w:pPr>
        <w:spacing w:line="14" w:lineRule="exact"/>
        <w:contextualSpacing/>
        <w:rPr>
          <w:vanish/>
          <w:sz w:val="2"/>
          <w:szCs w:val="20"/>
        </w:rPr>
      </w:pPr>
    </w:p>
    <w:p w:rsidR="00C41E04" w:rsidRPr="00426C9B" w:rsidRDefault="00C41E04" w:rsidP="007065F3">
      <w:pPr>
        <w:spacing w:line="14" w:lineRule="exact"/>
        <w:contextualSpacing/>
        <w:rPr>
          <w:vanish/>
          <w:sz w:val="2"/>
          <w:szCs w:val="20"/>
        </w:rPr>
      </w:pPr>
    </w:p>
    <w:p w:rsidR="00C41E04" w:rsidRDefault="00C41E04"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41E04"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41E04" w:rsidRPr="00497C57" w:rsidRDefault="00C41E04"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41E04" w:rsidRPr="00497C57" w:rsidRDefault="00C41E04"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41E04" w:rsidRPr="00497C57" w:rsidRDefault="00C41E04"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41E04" w:rsidRPr="00A45B81" w:rsidRDefault="00C41E04"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41E04" w:rsidRPr="00A45B81" w:rsidRDefault="00C41E04"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41E04" w:rsidRPr="00A45B81" w:rsidRDefault="00C41E04"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41E04" w:rsidRPr="00A45B81" w:rsidRDefault="00C41E04"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41E04" w:rsidRPr="00A45B81" w:rsidRDefault="00C41E04"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41E04" w:rsidRPr="00A45B81" w:rsidRDefault="00C41E04"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41E04" w:rsidRPr="00A45B81" w:rsidRDefault="00C41E04"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41E04" w:rsidRPr="00497C57" w:rsidRDefault="00C41E04" w:rsidP="00CF18D8">
            <w:pPr>
              <w:keepNext/>
              <w:keepLines/>
              <w:rPr>
                <w:rFonts w:ascii="Calibri" w:hAnsi="Calibri" w:cs="Calibri"/>
                <w:szCs w:val="20"/>
              </w:rPr>
            </w:pPr>
          </w:p>
        </w:tc>
      </w:tr>
      <w:tr w:rsidR="00C41E04"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41E04" w:rsidRPr="00773A69" w:rsidRDefault="00C41E04" w:rsidP="00CF18D8">
            <w:pPr>
              <w:keepNext/>
              <w:keepLines/>
              <w:jc w:val="center"/>
              <w:rPr>
                <w:rFonts w:ascii="Calibri" w:hAnsi="Calibri" w:cs="Calibri"/>
                <w:color w:val="CC66FF"/>
              </w:rPr>
            </w:pPr>
            <w:bookmarkStart w:id="0" w:name="w2t1663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41E04" w:rsidRPr="00497C57" w:rsidRDefault="00C41E04" w:rsidP="00CF18D8">
            <w:pPr>
              <w:keepNext/>
              <w:keepLines/>
              <w:jc w:val="center"/>
              <w:rPr>
                <w:rFonts w:ascii="Calibri" w:hAnsi="Calibri" w:cs="Calibri"/>
                <w:szCs w:val="26"/>
              </w:rPr>
            </w:pPr>
            <w:permStart w:id="2114460159" w:edGrp="everyone"/>
            <w:r>
              <w:rPr>
                <w:rFonts w:ascii="Calibri" w:hAnsi="Calibri" w:cs="Calibri"/>
                <w:szCs w:val="26"/>
              </w:rPr>
              <w:t>TCLD_ERTR_FGE00</w:t>
            </w:r>
            <w:permEnd w:id="211446015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41E04" w:rsidRPr="00497C57" w:rsidRDefault="00C41E04"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41E04" w:rsidRPr="00497C57" w:rsidRDefault="00C41E04" w:rsidP="00CF18D8">
            <w:pPr>
              <w:keepNext/>
              <w:keepLines/>
              <w:jc w:val="center"/>
              <w:rPr>
                <w:rFonts w:ascii="Calibri" w:hAnsi="Calibri" w:cs="Calibri"/>
                <w:color w:val="808080" w:themeColor="background1" w:themeShade="80"/>
                <w:szCs w:val="20"/>
              </w:rPr>
            </w:pPr>
            <w:hyperlink r:id="rId5" w:history="1">
              <w:r w:rsidRPr="00C41E04">
                <w:rPr>
                  <w:rStyle w:val="Collegamentoipertestuale"/>
                  <w:rFonts w:ascii="Calibri" w:hAnsi="Calibri" w:cs="Calibri"/>
                  <w:szCs w:val="20"/>
                </w:rPr>
                <w:t>16635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41E04" w:rsidRPr="00497C57" w:rsidRDefault="00C41E04" w:rsidP="00CF18D8">
            <w:pPr>
              <w:keepNext/>
              <w:keepLines/>
              <w:jc w:val="center"/>
              <w:rPr>
                <w:rFonts w:ascii="Calibri" w:hAnsi="Calibri" w:cs="Calibri"/>
                <w:color w:val="808080" w:themeColor="background1" w:themeShade="80"/>
                <w:szCs w:val="20"/>
              </w:rPr>
            </w:pPr>
            <w:hyperlink r:id="rId6" w:history="1">
              <w:r w:rsidRPr="00C41E04">
                <w:rPr>
                  <w:rStyle w:val="Collegamentoipertestuale"/>
                  <w:rFonts w:ascii="Calibri" w:hAnsi="Calibri" w:cs="Calibri"/>
                  <w:szCs w:val="20"/>
                </w:rPr>
                <w:t>62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41E04" w:rsidRPr="00497C57" w:rsidRDefault="00C41E0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41E04" w:rsidRPr="00497C57" w:rsidRDefault="00C41E04"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41E04" w:rsidRPr="00497C57" w:rsidRDefault="00C41E04"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C41E04" w:rsidRPr="00497C57" w:rsidRDefault="00C41E04"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41E04" w:rsidRPr="00497C57" w:rsidRDefault="00C41E04"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41E04" w:rsidRPr="00497C57" w:rsidRDefault="00C41E04" w:rsidP="00CF18D8">
            <w:pPr>
              <w:keepNext/>
              <w:keepLines/>
              <w:jc w:val="center"/>
              <w:rPr>
                <w:rFonts w:ascii="Calibri" w:hAnsi="Calibri" w:cs="Calibri"/>
                <w:szCs w:val="20"/>
              </w:rPr>
            </w:pPr>
          </w:p>
        </w:tc>
      </w:tr>
      <w:bookmarkEnd w:id="0"/>
      <w:tr w:rsidR="00C41E04"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41E04" w:rsidRPr="005C18B6" w:rsidRDefault="00C41E04" w:rsidP="00CF18D8">
            <w:pPr>
              <w:pStyle w:val="TFSWorkitem3"/>
              <w:keepLines/>
            </w:pPr>
            <w:r>
              <w:t>Feature 16635 - Gestione Eredi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41E04" w:rsidRPr="004952F2" w:rsidRDefault="00C41E04"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41E04" w:rsidRPr="0018760B" w:rsidRDefault="00C41E04"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41E04" w:rsidRPr="004952F2" w:rsidRDefault="00C41E04"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605390733" w:edGrp="everyone" w:displacedByCustomXml="next"/>
        <w:sdt>
          <w:sdtPr>
            <w:rPr>
              <w:rFonts w:ascii="Calibri" w:hAnsi="Calibri" w:cs="Calibri"/>
              <w:color w:val="000000" w:themeColor="text1"/>
              <w:szCs w:val="20"/>
            </w:rPr>
            <w:id w:val="-939217137"/>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41E04" w:rsidRPr="00324ECD" w:rsidRDefault="00C41E04"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60539073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41E04" w:rsidRPr="005C18B6" w:rsidRDefault="00C41E04"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41E04" w:rsidRPr="005C18B6" w:rsidRDefault="00C41E04"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41E04" w:rsidRPr="005C18B6" w:rsidRDefault="00C41E04"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41E04" w:rsidRPr="005C18B6" w:rsidRDefault="00C41E0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41E04" w:rsidRPr="005C18B6" w:rsidRDefault="00C41E04"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41E04" w:rsidRPr="005C18B6" w:rsidRDefault="00C41E04"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41E04" w:rsidRPr="005C18B6" w:rsidRDefault="00C41E04" w:rsidP="00CF18D8">
            <w:pPr>
              <w:keepNext/>
              <w:keepLines/>
              <w:rPr>
                <w:rFonts w:ascii="Calibri" w:hAnsi="Calibri" w:cs="Calibri"/>
                <w:szCs w:val="18"/>
              </w:rPr>
            </w:pPr>
          </w:p>
        </w:tc>
      </w:tr>
      <w:tr w:rsidR="00C41E04"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41E04" w:rsidRPr="005C18B6" w:rsidRDefault="00C41E04"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41E04" w:rsidRPr="005C18B6" w:rsidRDefault="00C41E04" w:rsidP="00CF18D8">
            <w:pPr>
              <w:keepNext/>
              <w:keepLines/>
              <w:jc w:val="center"/>
              <w:rPr>
                <w:rFonts w:ascii="Calibri" w:hAnsi="Calibri" w:cs="Calibri"/>
                <w:b/>
                <w:sz w:val="26"/>
                <w:szCs w:val="26"/>
              </w:rPr>
            </w:pPr>
            <w:permStart w:id="134685007" w:edGrp="everyone"/>
            <w:r>
              <w:rPr>
                <w:rFonts w:ascii="Calibri" w:hAnsi="Calibri" w:cs="Calibri"/>
                <w:b/>
                <w:sz w:val="26"/>
                <w:szCs w:val="26"/>
              </w:rPr>
              <w:t>Gestione Eredi</w:t>
            </w:r>
            <w:permEnd w:id="134685007"/>
          </w:p>
        </w:tc>
        <w:tc>
          <w:tcPr>
            <w:tcW w:w="58" w:type="dxa"/>
            <w:tcBorders>
              <w:top w:val="nil"/>
              <w:left w:val="nil"/>
              <w:bottom w:val="nil"/>
              <w:right w:val="single" w:sz="4" w:space="0" w:color="auto"/>
            </w:tcBorders>
            <w:tcMar>
              <w:left w:w="0" w:type="dxa"/>
              <w:right w:w="0" w:type="dxa"/>
            </w:tcMar>
          </w:tcPr>
          <w:p w:rsidR="00C41E04" w:rsidRPr="005C18B6" w:rsidRDefault="00C41E04" w:rsidP="00CF18D8">
            <w:pPr>
              <w:keepNext/>
              <w:keepLines/>
              <w:rPr>
                <w:rFonts w:ascii="Calibri" w:hAnsi="Calibri" w:cs="Calibri"/>
                <w:b/>
                <w:szCs w:val="26"/>
              </w:rPr>
            </w:pPr>
          </w:p>
        </w:tc>
      </w:tr>
      <w:tr w:rsidR="00C41E0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41E04" w:rsidRPr="00A3613B" w:rsidRDefault="00C41E04"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41E04" w:rsidRPr="005C18B6" w:rsidRDefault="00C41E04"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41E04" w:rsidRPr="005C18B6" w:rsidRDefault="00C41E04" w:rsidP="00D5543D">
            <w:pPr>
              <w:keepLines/>
              <w:rPr>
                <w:rFonts w:ascii="Calibri" w:hAnsi="Calibri" w:cs="Calibri"/>
                <w:szCs w:val="18"/>
              </w:rPr>
            </w:pPr>
          </w:p>
        </w:tc>
      </w:tr>
      <w:tr w:rsidR="00C41E04"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41E04" w:rsidRPr="005C18B6" w:rsidRDefault="00C41E04"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41E04" w:rsidRDefault="00C41E04" w:rsidP="00C41E04">
            <w:pPr>
              <w:pStyle w:val="NormaleWeb"/>
              <w:spacing w:before="60" w:beforeAutospacing="0" w:after="60" w:afterAutospacing="0"/>
              <w:jc w:val="both"/>
            </w:pPr>
            <w:permStart w:id="1692540665" w:edGrp="everyone"/>
            <w:r>
              <w:rPr>
                <w:rFonts w:ascii="Tahoma" w:hAnsi="Tahoma" w:cs="Tahoma"/>
                <w:color w:val="000000"/>
                <w:sz w:val="18"/>
                <w:szCs w:val="18"/>
              </w:rPr>
              <w:t>Al fine di gestire gli importi da liquidare agli eredi, l’operatore di amministrazione deve poter inserire la data di decesso di un amministrato a prescindere dalle causali di cessazione registrate sullo stesso come descritto nell’Epica “</w:t>
            </w:r>
            <w:r>
              <w:rPr>
                <w:rFonts w:ascii="Tahoma" w:hAnsi="Tahoma" w:cs="Tahoma"/>
                <w:i/>
                <w:iCs/>
                <w:color w:val="000000"/>
                <w:sz w:val="18"/>
                <w:szCs w:val="18"/>
              </w:rPr>
              <w:t>TCLD_ECSS_FGC00 - Gestione cessazione</w:t>
            </w:r>
            <w:r>
              <w:rPr>
                <w:rFonts w:ascii="Tahoma" w:hAnsi="Tahoma" w:cs="Tahoma"/>
                <w:color w:val="000000"/>
                <w:sz w:val="18"/>
                <w:szCs w:val="18"/>
              </w:rPr>
              <w:t>”.</w:t>
            </w:r>
          </w:p>
          <w:p w:rsidR="00C41E04" w:rsidRDefault="00C41E04" w:rsidP="00C41E04">
            <w:pPr>
              <w:pStyle w:val="NormaleWeb"/>
              <w:spacing w:before="60" w:beforeAutospacing="0" w:after="60" w:afterAutospacing="0"/>
              <w:jc w:val="both"/>
            </w:pPr>
            <w:r>
              <w:rPr>
                <w:rFonts w:ascii="Tahoma" w:hAnsi="Tahoma" w:cs="Tahoma"/>
                <w:color w:val="000000"/>
                <w:sz w:val="18"/>
                <w:szCs w:val="18"/>
              </w:rPr>
              <w:t>Nel caso di cessazione per decesso tale data, deve essere prospettata di default dal sistema.</w:t>
            </w:r>
          </w:p>
          <w:p w:rsidR="00C41E04" w:rsidRDefault="00C41E04" w:rsidP="00C41E04">
            <w:pPr>
              <w:pStyle w:val="NormaleWeb"/>
              <w:spacing w:before="60" w:beforeAutospacing="0" w:after="60" w:afterAutospacing="0"/>
              <w:jc w:val="both"/>
            </w:pPr>
            <w:r>
              <w:rPr>
                <w:rFonts w:ascii="Tahoma" w:hAnsi="Tahoma" w:cs="Tahoma"/>
                <w:color w:val="000000"/>
                <w:sz w:val="18"/>
                <w:szCs w:val="18"/>
              </w:rPr>
              <w:t xml:space="preserve">All’inserimento della data di decesso il sitema deve produrre una simulazione di tutti i compensi/ritenute pendenti in capo all’amministrato deceduto e generare le voci spettanti agli eredi, anche se  non ancora individuati, secondo i raggruppamenti di cui al successivo paragrafo voci di competenza eredi. </w:t>
            </w:r>
          </w:p>
          <w:p w:rsidR="00C41E04" w:rsidRDefault="00C41E04" w:rsidP="00C41E04">
            <w:pPr>
              <w:pStyle w:val="NormaleWeb"/>
              <w:spacing w:before="60" w:beforeAutospacing="0" w:after="60" w:afterAutospacing="0"/>
              <w:jc w:val="both"/>
            </w:pPr>
            <w:r>
              <w:rPr>
                <w:rFonts w:ascii="Tahoma" w:hAnsi="Tahoma" w:cs="Tahoma"/>
                <w:color w:val="000000"/>
                <w:sz w:val="18"/>
                <w:szCs w:val="18"/>
              </w:rPr>
              <w:t>Successivamente alla simulazione, in preparazione all’elaborazione della rata stipendiale, l’operatore di amministrazione deve anagrafare gli eredi ed associarli all’anagrafica dell’amministrato.</w:t>
            </w:r>
          </w:p>
          <w:p w:rsidR="00C41E04" w:rsidRDefault="00C41E04" w:rsidP="00C41E04">
            <w:pPr>
              <w:pStyle w:val="NormaleWeb"/>
              <w:spacing w:before="60" w:beforeAutospacing="0" w:after="60" w:afterAutospacing="0"/>
              <w:jc w:val="both"/>
            </w:pPr>
            <w:r>
              <w:rPr>
                <w:rFonts w:ascii="Tahoma" w:hAnsi="Tahoma" w:cs="Tahoma"/>
                <w:color w:val="000000"/>
                <w:sz w:val="18"/>
                <w:szCs w:val="18"/>
              </w:rPr>
              <w:t xml:space="preserve">Per ciascun erede deve inserire/variare/eliminare i dati fiscali, i dati anagrafici, i dati di residenza, i dati di domicilio, le coordinate di pagamento. </w:t>
            </w:r>
          </w:p>
          <w:p w:rsidR="00C41E04" w:rsidRDefault="00C41E04" w:rsidP="00C41E04">
            <w:pPr>
              <w:pStyle w:val="NormaleWeb"/>
              <w:spacing w:before="60" w:beforeAutospacing="0" w:after="60" w:afterAutospacing="0"/>
              <w:jc w:val="both"/>
            </w:pPr>
            <w:r>
              <w:rPr>
                <w:rFonts w:ascii="Tahoma" w:hAnsi="Tahoma" w:cs="Tahoma"/>
                <w:color w:val="000000"/>
                <w:sz w:val="18"/>
                <w:szCs w:val="18"/>
              </w:rPr>
              <w:t>Per la percentuale di spettanza agli eredi il sistema deve essere parametrico, consentendo di configurare da “1 a n” percentuali secondo quanto disposto dalla normativa vigente. Attualmente la normativa vigente prevede la possibilità di attribuire due tipologie di percentuali:</w:t>
            </w:r>
          </w:p>
          <w:p w:rsidR="00C41E04" w:rsidRDefault="00C41E04" w:rsidP="00C41E04">
            <w:pPr>
              <w:pStyle w:val="NormaleWeb"/>
              <w:numPr>
                <w:ilvl w:val="0"/>
                <w:numId w:val="8"/>
              </w:numPr>
              <w:spacing w:before="60" w:beforeAutospacing="0" w:after="60" w:afterAutospacing="0"/>
              <w:jc w:val="both"/>
            </w:pPr>
            <w:r>
              <w:rPr>
                <w:rFonts w:ascii="Tahoma" w:hAnsi="Tahoma" w:cs="Tahoma"/>
                <w:sz w:val="18"/>
                <w:szCs w:val="18"/>
              </w:rPr>
              <w:t>Percentuale di eredità (codice civile art. 565 e seg.)</w:t>
            </w:r>
          </w:p>
          <w:p w:rsidR="00C41E04" w:rsidRDefault="00C41E04" w:rsidP="00C41E04">
            <w:pPr>
              <w:pStyle w:val="NormaleWeb"/>
              <w:numPr>
                <w:ilvl w:val="0"/>
                <w:numId w:val="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Percentuale indennità art. 2122 codice civile.</w:t>
            </w:r>
          </w:p>
          <w:p w:rsidR="00C41E04" w:rsidRDefault="00C41E04" w:rsidP="00C41E04">
            <w:pPr>
              <w:pStyle w:val="NormaleWeb"/>
              <w:spacing w:before="60" w:beforeAutospacing="0" w:after="60" w:afterAutospacing="0"/>
              <w:jc w:val="both"/>
            </w:pPr>
            <w:r>
              <w:rPr>
                <w:rFonts w:ascii="Tahoma" w:hAnsi="Tahoma" w:cs="Tahoma"/>
                <w:color w:val="000000"/>
                <w:sz w:val="18"/>
                <w:szCs w:val="18"/>
              </w:rPr>
              <w:t>Durante l’ordinario processo di elaborazione stipendiale, il sistema,  per l’amministrato deceduto, deve:</w:t>
            </w:r>
          </w:p>
          <w:p w:rsidR="00C41E04" w:rsidRDefault="00C41E04" w:rsidP="00C41E04">
            <w:pPr>
              <w:pStyle w:val="NormaleWeb"/>
              <w:numPr>
                <w:ilvl w:val="0"/>
                <w:numId w:val="9"/>
              </w:numPr>
              <w:spacing w:before="60" w:beforeAutospacing="0" w:after="60" w:afterAutospacing="0"/>
              <w:jc w:val="both"/>
            </w:pPr>
            <w:r>
              <w:rPr>
                <w:rFonts w:ascii="Tahoma" w:hAnsi="Tahoma" w:cs="Tahoma"/>
                <w:sz w:val="18"/>
                <w:szCs w:val="18"/>
              </w:rPr>
              <w:t>elaborare il conguaglio fiscale delle somme percepite ante decesso generando un credito/debito fiscale;</w:t>
            </w:r>
          </w:p>
          <w:p w:rsidR="00C41E04" w:rsidRDefault="00C41E04" w:rsidP="00C41E04">
            <w:pPr>
              <w:pStyle w:val="NormaleWeb"/>
              <w:numPr>
                <w:ilvl w:val="0"/>
                <w:numId w:val="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elaborare i compensi maturati dall’amministrato e non ancora riscossi;</w:t>
            </w:r>
          </w:p>
          <w:p w:rsidR="00C41E04" w:rsidRDefault="00C41E04" w:rsidP="00C41E04">
            <w:pPr>
              <w:pStyle w:val="NormaleWeb"/>
              <w:numPr>
                <w:ilvl w:val="0"/>
                <w:numId w:val="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elaborare somme a debito non ancora restituite;</w:t>
            </w:r>
          </w:p>
          <w:p w:rsidR="00C41E04" w:rsidRDefault="00C41E04" w:rsidP="00C41E04">
            <w:pPr>
              <w:pStyle w:val="NormaleWeb"/>
              <w:numPr>
                <w:ilvl w:val="0"/>
                <w:numId w:val="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elaborare gli imponibili previdenziali assicurativi relativi alle somme di cui al punto precedente;</w:t>
            </w:r>
          </w:p>
          <w:p w:rsidR="00C41E04" w:rsidRDefault="00C41E04" w:rsidP="00C41E04">
            <w:pPr>
              <w:pStyle w:val="NormaleWeb"/>
              <w:numPr>
                <w:ilvl w:val="0"/>
                <w:numId w:val="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elaborare gli oneri previdenziali e le relative ritenute a carico dell’amministrato sugli imponibili del punto precedente;</w:t>
            </w:r>
          </w:p>
          <w:p w:rsidR="00C41E04" w:rsidRDefault="00C41E04" w:rsidP="00C41E04">
            <w:pPr>
              <w:pStyle w:val="NormaleWeb"/>
              <w:numPr>
                <w:ilvl w:val="0"/>
                <w:numId w:val="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elaborare i compensi per il mancato preavviso, TFR e altre indennità equipollenti, effettuare le ritenute fiscali calcolate come da feature “</w:t>
            </w:r>
            <w:r>
              <w:rPr>
                <w:rFonts w:ascii="Tahoma" w:hAnsi="Tahoma" w:cs="Tahoma"/>
                <w:i/>
                <w:iCs/>
                <w:color w:val="000000"/>
                <w:sz w:val="18"/>
                <w:szCs w:val="18"/>
              </w:rPr>
              <w:t>TCLD_ECNF_FCAFR - Configurazioni Assoggettamenti fiscali TFR privatistico</w:t>
            </w:r>
            <w:r>
              <w:rPr>
                <w:rFonts w:ascii="Tahoma" w:hAnsi="Tahoma" w:cs="Tahoma"/>
                <w:color w:val="000000"/>
                <w:sz w:val="18"/>
                <w:szCs w:val="18"/>
              </w:rPr>
              <w:t>” o utilizzando l’aliquota applicata dall’INPS sulla liquidazione del TFR/TFS pubblico o con aliquota forzata dall’operatore (</w:t>
            </w:r>
            <w:r>
              <w:rPr>
                <w:rFonts w:ascii="Tahoma" w:hAnsi="Tahoma" w:cs="Tahoma"/>
                <w:b/>
                <w:bCs/>
                <w:color w:val="000000"/>
                <w:sz w:val="18"/>
                <w:szCs w:val="18"/>
                <w:u w:val="single"/>
              </w:rPr>
              <w:t>i dati elaborati non vanno esposti nel CU del De Cuius ma devono essere esposti nei CU di tutti gli Eredi per intero e per ciascuno di essi la % spettante</w:t>
            </w:r>
            <w:r>
              <w:rPr>
                <w:rFonts w:ascii="Tahoma" w:hAnsi="Tahoma" w:cs="Tahoma"/>
                <w:color w:val="000000"/>
                <w:sz w:val="18"/>
                <w:szCs w:val="18"/>
              </w:rPr>
              <w:t>) .</w:t>
            </w:r>
          </w:p>
          <w:p w:rsidR="00C41E04" w:rsidRDefault="00C41E04" w:rsidP="00C41E04">
            <w:pPr>
              <w:pStyle w:val="NormaleWeb"/>
              <w:spacing w:before="60" w:beforeAutospacing="0" w:after="60" w:afterAutospacing="0"/>
              <w:jc w:val="both"/>
            </w:pPr>
            <w:r>
              <w:rPr>
                <w:rFonts w:ascii="Tahoma" w:hAnsi="Tahoma" w:cs="Tahoma"/>
                <w:color w:val="000000"/>
                <w:sz w:val="18"/>
                <w:szCs w:val="18"/>
              </w:rPr>
              <w:t xml:space="preserve">Dalle somme risultanti da quanto sopra riportato, il sistema potrà generare delle </w:t>
            </w:r>
            <w:r>
              <w:rPr>
                <w:rFonts w:ascii="Tahoma" w:hAnsi="Tahoma" w:cs="Tahoma"/>
                <w:b/>
                <w:bCs/>
                <w:color w:val="000000"/>
                <w:sz w:val="18"/>
                <w:szCs w:val="18"/>
              </w:rPr>
              <w:t>voci di competenza eredi</w:t>
            </w:r>
            <w:r>
              <w:rPr>
                <w:rFonts w:ascii="Tahoma" w:hAnsi="Tahoma" w:cs="Tahoma"/>
                <w:color w:val="000000"/>
                <w:sz w:val="18"/>
                <w:szCs w:val="18"/>
              </w:rPr>
              <w:t xml:space="preserve"> così come di seguito riportate, ripartendole fra gli eredi in base alla % spettante:</w:t>
            </w:r>
          </w:p>
          <w:p w:rsidR="00C41E04" w:rsidRDefault="00C41E04" w:rsidP="00C41E04">
            <w:pPr>
              <w:pStyle w:val="NormaleWeb"/>
              <w:numPr>
                <w:ilvl w:val="0"/>
                <w:numId w:val="10"/>
              </w:numPr>
              <w:spacing w:before="60" w:beforeAutospacing="0" w:after="60" w:afterAutospacing="0"/>
              <w:jc w:val="both"/>
            </w:pPr>
            <w:r>
              <w:rPr>
                <w:rFonts w:ascii="Tahoma" w:hAnsi="Tahoma" w:cs="Tahoma"/>
                <w:sz w:val="18"/>
                <w:szCs w:val="18"/>
              </w:rPr>
              <w:t>competenze eredi esenti (es. conguaglio fiscale, ANF, ecc.);</w:t>
            </w:r>
          </w:p>
          <w:p w:rsidR="00C41E04" w:rsidRDefault="00C41E04" w:rsidP="00C41E04">
            <w:pPr>
              <w:pStyle w:val="NormaleWeb"/>
              <w:numPr>
                <w:ilvl w:val="0"/>
                <w:numId w:val="10"/>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competenze per eredi derivanti da importi a tassazione ordinaria del De Cuius (es. stipendio, tredicesima, ecc.);</w:t>
            </w:r>
          </w:p>
          <w:p w:rsidR="00C41E04" w:rsidRDefault="00C41E04" w:rsidP="00C41E04">
            <w:pPr>
              <w:pStyle w:val="NormaleWeb"/>
              <w:numPr>
                <w:ilvl w:val="0"/>
                <w:numId w:val="10"/>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competenze per eredi derivanti da importi a tassazione separata del De Cuius (es. arretrati contrattuali, somme da sentenze, ecc.);</w:t>
            </w:r>
          </w:p>
          <w:p w:rsidR="00C41E04" w:rsidRDefault="00C41E04" w:rsidP="00C41E04">
            <w:pPr>
              <w:pStyle w:val="NormaleWeb"/>
              <w:numPr>
                <w:ilvl w:val="0"/>
                <w:numId w:val="10"/>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compentenze eredi art. 2122 (es. indennità di mancato preavviso, TFR, ecc.).</w:t>
            </w:r>
          </w:p>
          <w:p w:rsidR="00C41E04" w:rsidRDefault="00C41E04" w:rsidP="00C41E04">
            <w:pPr>
              <w:pStyle w:val="NormaleWeb"/>
              <w:spacing w:before="60" w:beforeAutospacing="0" w:after="60" w:afterAutospacing="0"/>
              <w:jc w:val="both"/>
            </w:pPr>
            <w:r>
              <w:rPr>
                <w:rFonts w:ascii="Tahoma" w:hAnsi="Tahoma" w:cs="Tahoma"/>
                <w:color w:val="000000"/>
                <w:sz w:val="18"/>
                <w:szCs w:val="18"/>
              </w:rPr>
              <w:t>Per ciascun erede il sistema dovra produrre un cedolino compensi, in base alla ripartizione delle quote spettanti, elaborate nel cedolino del De Cuius, applicando le ritenute fiscali come di seguito riportato:</w:t>
            </w:r>
          </w:p>
          <w:p w:rsidR="00C41E04" w:rsidRDefault="00C41E04" w:rsidP="00C41E04">
            <w:pPr>
              <w:pStyle w:val="NormaleWeb"/>
              <w:numPr>
                <w:ilvl w:val="0"/>
                <w:numId w:val="11"/>
              </w:numPr>
              <w:spacing w:before="60" w:beforeAutospacing="0" w:after="60" w:afterAutospacing="0"/>
              <w:jc w:val="both"/>
            </w:pPr>
            <w:r>
              <w:rPr>
                <w:rFonts w:ascii="Tahoma" w:hAnsi="Tahoma" w:cs="Tahoma"/>
                <w:sz w:val="18"/>
                <w:szCs w:val="18"/>
              </w:rPr>
              <w:t>competenze esenti nessuna ritenuta (somma pagata al netto);</w:t>
            </w:r>
          </w:p>
          <w:p w:rsidR="00C41E04" w:rsidRDefault="00C41E04" w:rsidP="00C41E04">
            <w:pPr>
              <w:pStyle w:val="NormaleWeb"/>
              <w:numPr>
                <w:ilvl w:val="0"/>
                <w:numId w:val="11"/>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competenze a tassazione ordinaria: quota competenza come da percentuale e  ritenuta fiscale aliquota al 23% come descritto nella Feature “</w:t>
            </w:r>
            <w:r>
              <w:rPr>
                <w:rFonts w:ascii="Tahoma" w:hAnsi="Tahoma" w:cs="Tahoma"/>
                <w:i/>
                <w:iCs/>
                <w:color w:val="000000"/>
                <w:sz w:val="18"/>
                <w:szCs w:val="18"/>
              </w:rPr>
              <w:t>TCLD_ECNF_FCRF0 - Configurazione regimi fiscali</w:t>
            </w:r>
            <w:r>
              <w:rPr>
                <w:rFonts w:ascii="Tahoma" w:hAnsi="Tahoma" w:cs="Tahoma"/>
                <w:color w:val="000000"/>
                <w:sz w:val="18"/>
                <w:szCs w:val="18"/>
              </w:rPr>
              <w:t>”;</w:t>
            </w:r>
          </w:p>
          <w:p w:rsidR="00C41E04" w:rsidRDefault="00C41E04" w:rsidP="00C41E04">
            <w:pPr>
              <w:pStyle w:val="NormaleWeb"/>
              <w:numPr>
                <w:ilvl w:val="0"/>
                <w:numId w:val="11"/>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competenza a tassazione separata: quota competenza come da percentuale e  ritenuta fiscale aliquota al 23% come descritto nella Feature “</w:t>
            </w:r>
            <w:r>
              <w:rPr>
                <w:rFonts w:ascii="Tahoma" w:hAnsi="Tahoma" w:cs="Tahoma"/>
                <w:i/>
                <w:iCs/>
                <w:color w:val="000000"/>
                <w:sz w:val="18"/>
                <w:szCs w:val="18"/>
              </w:rPr>
              <w:t>TCLD_ECNF_FCRF0 - Configurazione regimi fiscali</w:t>
            </w:r>
            <w:r>
              <w:rPr>
                <w:rFonts w:ascii="Tahoma" w:hAnsi="Tahoma" w:cs="Tahoma"/>
                <w:color w:val="000000"/>
                <w:sz w:val="18"/>
                <w:szCs w:val="18"/>
              </w:rPr>
              <w:t>”;</w:t>
            </w:r>
          </w:p>
          <w:p w:rsidR="00C41E04" w:rsidRDefault="00C41E04" w:rsidP="00C41E04">
            <w:pPr>
              <w:pStyle w:val="NormaleWeb"/>
              <w:numPr>
                <w:ilvl w:val="0"/>
                <w:numId w:val="11"/>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lastRenderedPageBreak/>
              <w:t>competenze art. 2122: quota competenza come da percentuale e ritenuta fiscale in base all’aliquota applicata nell’elaborazione del cedolino del De Cuius.</w:t>
            </w:r>
          </w:p>
          <w:p w:rsidR="00C41E04" w:rsidRDefault="00C41E04" w:rsidP="00C41E04">
            <w:pPr>
              <w:pStyle w:val="NormaleWeb"/>
            </w:pPr>
            <w:r>
              <w:rPr>
                <w:rFonts w:ascii="Tahoma" w:hAnsi="Tahoma" w:cs="Tahoma"/>
                <w:color w:val="000000"/>
                <w:sz w:val="18"/>
                <w:szCs w:val="18"/>
              </w:rPr>
              <w:t>In presenza di un debito residuo sulla posizione stipendiale dell’amministrato, il sistema, attraverso apposite notificheagli operatori interessati, ne darà segnalazione, al fine di avviare il  procedimento amministrativo per il recupero del debito.</w:t>
            </w:r>
          </w:p>
          <w:p w:rsidR="00C41E04" w:rsidRDefault="00C41E04" w:rsidP="00C41E04">
            <w:pPr>
              <w:pStyle w:val="NormaleWeb"/>
            </w:pPr>
          </w:p>
          <w:p w:rsidR="00C41E04" w:rsidRDefault="00C41E04" w:rsidP="00C41E04">
            <w:pPr>
              <w:pStyle w:val="NormaleWeb"/>
            </w:pPr>
          </w:p>
          <w:p w:rsidR="00C41E04" w:rsidRDefault="00C41E04" w:rsidP="00C41E04">
            <w:pPr>
              <w:pStyle w:val="NormaleWeb"/>
            </w:pPr>
            <w:r>
              <w:rPr>
                <w:rFonts w:ascii="Tahoma" w:hAnsi="Tahoma" w:cs="Tahoma"/>
                <w:noProof/>
                <w:color w:val="000000"/>
                <w:sz w:val="18"/>
                <w:szCs w:val="18"/>
              </w:rPr>
              <w:lastRenderedPageBreak/>
              <w:drawing>
                <wp:inline distT="0" distB="0" distL="0" distR="0">
                  <wp:extent cx="20269200" cy="7572375"/>
                  <wp:effectExtent l="0" t="0" r="0" b="9525"/>
                  <wp:docPr id="4" name="Immagine 4" descr="http://tfsprod.mef.gov.it/tfs/Cloudify-NoiPA/WorkItemTracking/v1.0/AttachFileHandler.ashx?FileNameGuid=740d0b27-72c1-4abb-9a3e-1baf0e9ae4d6&amp;FileName=getsione%20eredi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fsprod.mef.gov.it/tfs/Cloudify-NoiPA/WorkItemTracking/v1.0/AttachFileHandler.ashx?FileNameGuid=740d0b27-72c1-4abb-9a3e-1baf0e9ae4d6&amp;FileName=getsione%20eredijp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269200" cy="7572375"/>
                          </a:xfrm>
                          <a:prstGeom prst="rect">
                            <a:avLst/>
                          </a:prstGeom>
                          <a:noFill/>
                          <a:ln>
                            <a:noFill/>
                          </a:ln>
                        </pic:spPr>
                      </pic:pic>
                    </a:graphicData>
                  </a:graphic>
                </wp:inline>
              </w:drawing>
            </w:r>
          </w:p>
          <w:p w:rsidR="00C41E04" w:rsidRDefault="00C41E04" w:rsidP="00C41E04">
            <w:pPr>
              <w:pStyle w:val="NormaleWeb"/>
            </w:pPr>
            <w:r>
              <w:br/>
              <w:t>                                                                                                                                            </w:t>
            </w:r>
          </w:p>
          <w:permEnd w:id="1692540665"/>
          <w:p w:rsidR="00C41E04" w:rsidRPr="005C18B6" w:rsidRDefault="00C41E04"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41E04" w:rsidRPr="005C18B6" w:rsidRDefault="00C41E04" w:rsidP="00D5543D">
            <w:pPr>
              <w:keepLines/>
              <w:jc w:val="both"/>
              <w:rPr>
                <w:rFonts w:ascii="Calibri" w:hAnsi="Calibri" w:cs="Calibri"/>
              </w:rPr>
            </w:pPr>
          </w:p>
        </w:tc>
      </w:tr>
      <w:tr w:rsidR="00C41E04"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41E04" w:rsidRPr="00A3613B" w:rsidRDefault="00C41E04"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41E04" w:rsidRPr="00A64A6F" w:rsidRDefault="00C41E04"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41E04" w:rsidRPr="005C18B6" w:rsidRDefault="00C41E04" w:rsidP="00CF18D8">
            <w:pPr>
              <w:keepNext/>
              <w:keepLines/>
              <w:rPr>
                <w:rFonts w:ascii="Calibri" w:hAnsi="Calibri" w:cs="Calibri"/>
                <w:szCs w:val="18"/>
              </w:rPr>
            </w:pPr>
          </w:p>
        </w:tc>
      </w:tr>
      <w:tr w:rsidR="00C41E0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41E04" w:rsidRPr="005C18B6" w:rsidRDefault="00C41E04"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F5701A" w:rsidRDefault="00C41E04"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5C18B6" w:rsidRDefault="00C41E0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60683A" w:rsidRDefault="00C41E04"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5C18B6" w:rsidRDefault="00C41E0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5C18B6" w:rsidRDefault="00C41E04"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5C18B6" w:rsidRDefault="00C41E0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60683A" w:rsidRDefault="00C41E0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04674F" w:rsidRDefault="00C41E0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60683A" w:rsidRDefault="00C41E0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04674F" w:rsidRDefault="00C41E0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60683A" w:rsidRDefault="00C41E04"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41E04" w:rsidRPr="0004674F" w:rsidRDefault="00C41E0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41E04" w:rsidRPr="005C18B6" w:rsidRDefault="00C41E04" w:rsidP="00CF18D8">
            <w:pPr>
              <w:keepNext/>
              <w:keepLines/>
              <w:jc w:val="both"/>
              <w:rPr>
                <w:rFonts w:ascii="Calibri" w:hAnsi="Calibri" w:cs="Calibri"/>
                <w:szCs w:val="20"/>
              </w:rPr>
            </w:pPr>
          </w:p>
        </w:tc>
      </w:tr>
      <w:tr w:rsidR="00C41E04"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41E04" w:rsidRPr="005C18B6" w:rsidRDefault="00C41E04"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41E04" w:rsidRPr="00F5701A" w:rsidRDefault="00C41E04"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41E04" w:rsidRPr="005C18B6" w:rsidRDefault="00C41E0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41E04" w:rsidRPr="0060683A" w:rsidRDefault="00C41E04"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41E04" w:rsidRPr="005C18B6" w:rsidRDefault="00C41E0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41E04" w:rsidRPr="0060683A" w:rsidRDefault="00C41E04"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41E04" w:rsidRPr="005C18B6" w:rsidRDefault="00C41E0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41E04" w:rsidRPr="00F5701A" w:rsidRDefault="00C41E04"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41E04" w:rsidRPr="005C18B6" w:rsidRDefault="00C41E04"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41E04" w:rsidRPr="0060683A" w:rsidRDefault="00C41E04"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41E04" w:rsidRPr="0004674F" w:rsidRDefault="00C41E04"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41E04" w:rsidRPr="005C18B6" w:rsidRDefault="00C41E04"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41E04" w:rsidRPr="005C18B6" w:rsidRDefault="00C41E04" w:rsidP="00CF18D8">
            <w:pPr>
              <w:keepNext/>
              <w:keepLines/>
              <w:jc w:val="both"/>
              <w:rPr>
                <w:rFonts w:ascii="Calibri" w:hAnsi="Calibri" w:cs="Calibri"/>
                <w:szCs w:val="20"/>
              </w:rPr>
            </w:pPr>
          </w:p>
        </w:tc>
      </w:tr>
      <w:tr w:rsidR="00C41E04"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41E04" w:rsidRPr="005C18B6" w:rsidRDefault="00C41E04"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41E04" w:rsidRPr="005C18B6" w:rsidRDefault="00C41E04"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41E04" w:rsidRPr="005C18B6" w:rsidRDefault="00C41E04" w:rsidP="00CF18D8">
            <w:pPr>
              <w:keepNext/>
              <w:keepLines/>
              <w:rPr>
                <w:rFonts w:ascii="Calibri" w:hAnsi="Calibri" w:cs="Calibri"/>
                <w:szCs w:val="18"/>
              </w:rPr>
            </w:pPr>
          </w:p>
        </w:tc>
      </w:tr>
      <w:tr w:rsidR="00C41E04"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41E04" w:rsidRPr="005C18B6" w:rsidRDefault="00C41E04"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41E04" w:rsidRPr="00657300" w:rsidRDefault="00C41E04"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41E04" w:rsidRPr="00AD37E8" w:rsidRDefault="00C41E0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41E04" w:rsidRPr="005C18B6" w:rsidRDefault="00C41E0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41E04" w:rsidRPr="00107C08" w:rsidRDefault="00C41E0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41E04" w:rsidRPr="00107C08" w:rsidRDefault="00C41E0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41E04" w:rsidRPr="00107C08" w:rsidRDefault="00C41E0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41E04" w:rsidRPr="00107C08" w:rsidRDefault="00C41E04"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41E04" w:rsidRPr="00107C08" w:rsidRDefault="00C41E0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41E04" w:rsidRPr="00657300" w:rsidRDefault="00C41E04"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41E04" w:rsidRPr="00107C08" w:rsidRDefault="00C41E04"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41E04" w:rsidRPr="005C18B6" w:rsidRDefault="00C41E04" w:rsidP="00CF18D8">
            <w:pPr>
              <w:keepNext/>
              <w:keepLines/>
              <w:rPr>
                <w:rFonts w:ascii="Calibri" w:hAnsi="Calibri" w:cs="Calibri"/>
              </w:rPr>
            </w:pPr>
          </w:p>
        </w:tc>
      </w:tr>
      <w:tr w:rsidR="00C41E04"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41E04" w:rsidRPr="005C18B6" w:rsidRDefault="00C41E04"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41E04" w:rsidRPr="005C18B6" w:rsidRDefault="00C41E04"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41E04" w:rsidRPr="005C18B6" w:rsidRDefault="00C41E04"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41E04" w:rsidRPr="005C18B6" w:rsidRDefault="00C41E04"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41E04" w:rsidRPr="005C18B6" w:rsidRDefault="00C41E04" w:rsidP="00CF18D8">
            <w:pPr>
              <w:keepNext/>
              <w:keepLines/>
              <w:rPr>
                <w:rFonts w:ascii="Calibri" w:hAnsi="Calibri" w:cs="Calibri"/>
              </w:rPr>
            </w:pPr>
          </w:p>
        </w:tc>
      </w:tr>
    </w:tbl>
    <w:p w:rsidR="00C41E04" w:rsidRPr="00426C9B" w:rsidRDefault="00C41E04" w:rsidP="007065F3">
      <w:pPr>
        <w:spacing w:line="14" w:lineRule="exact"/>
        <w:contextualSpacing/>
        <w:jc w:val="center"/>
        <w:rPr>
          <w:vanish/>
          <w:sz w:val="2"/>
          <w:szCs w:val="20"/>
        </w:rPr>
      </w:pPr>
    </w:p>
    <w:p w:rsidR="00C41E04" w:rsidRPr="00426C9B" w:rsidRDefault="00C41E04" w:rsidP="007065F3">
      <w:pPr>
        <w:spacing w:line="14" w:lineRule="exact"/>
        <w:contextualSpacing/>
        <w:rPr>
          <w:vanish/>
          <w:sz w:val="2"/>
          <w:szCs w:val="20"/>
        </w:rPr>
      </w:pPr>
    </w:p>
    <w:p w:rsidR="00C41E04" w:rsidRPr="00426C9B" w:rsidRDefault="00C41E04" w:rsidP="007065F3">
      <w:pPr>
        <w:spacing w:line="14" w:lineRule="exact"/>
        <w:contextualSpacing/>
        <w:rPr>
          <w:vanish/>
          <w:sz w:val="2"/>
          <w:szCs w:val="20"/>
        </w:rPr>
      </w:pPr>
    </w:p>
    <w:p w:rsidR="00C41E04" w:rsidRPr="00426C9B" w:rsidRDefault="00C41E04" w:rsidP="007065F3">
      <w:pPr>
        <w:spacing w:line="14" w:lineRule="exact"/>
        <w:contextualSpacing/>
        <w:rPr>
          <w:vanish/>
          <w:sz w:val="2"/>
          <w:szCs w:val="20"/>
        </w:rPr>
      </w:pPr>
    </w:p>
    <w:p w:rsidR="00C41E04" w:rsidRPr="00426C9B" w:rsidRDefault="00C41E04" w:rsidP="007065F3">
      <w:pPr>
        <w:spacing w:line="14" w:lineRule="exact"/>
        <w:contextualSpacing/>
        <w:rPr>
          <w:vanish/>
          <w:sz w:val="2"/>
          <w:szCs w:val="20"/>
        </w:rPr>
      </w:pPr>
    </w:p>
    <w:p w:rsidR="00C41E04" w:rsidRPr="00426C9B" w:rsidRDefault="00C41E04" w:rsidP="007065F3">
      <w:pPr>
        <w:spacing w:line="14" w:lineRule="exact"/>
        <w:contextualSpacing/>
        <w:rPr>
          <w:vanish/>
          <w:sz w:val="2"/>
          <w:szCs w:val="20"/>
        </w:rPr>
      </w:pPr>
    </w:p>
    <w:p w:rsidR="00C41E04" w:rsidRPr="005C18B6" w:rsidRDefault="00C41E04" w:rsidP="007065F3">
      <w:pPr>
        <w:rPr>
          <w:rFonts w:ascii="Calibri" w:hAnsi="Calibri" w:cs="Calibri"/>
        </w:rPr>
      </w:pPr>
    </w:p>
    <w:p w:rsidR="00C41E04" w:rsidRPr="005C18B6" w:rsidRDefault="00C41E04" w:rsidP="007065F3">
      <w:pPr>
        <w:rPr>
          <w:rFonts w:ascii="Calibri" w:hAnsi="Calibri" w:cs="Calibri"/>
        </w:rPr>
      </w:pPr>
      <w:permStart w:id="456461156" w:edGrp="everyone"/>
      <w:permEnd w:id="456461156"/>
    </w:p>
    <w:p w:rsidR="009F2C77" w:rsidRPr="00C41E04" w:rsidRDefault="009F2C77" w:rsidP="00C41E04">
      <w:bookmarkStart w:id="1" w:name="_GoBack"/>
      <w:bookmarkEnd w:id="1"/>
    </w:p>
    <w:sectPr w:rsidR="009F2C77" w:rsidRPr="00C41E04" w:rsidSect="00AD7F33">
      <w:headerReference w:type="default" r:id="rId8"/>
      <w:footerReference w:type="default" r:id="rId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C41E04"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C41E04"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C41E04"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1</w:t>
          </w:r>
          <w:r w:rsidRPr="00860FFD">
            <w:rPr>
              <w:rFonts w:ascii="Tahoma" w:hAnsi="Tahoma" w:cs="Tahoma"/>
            </w:rPr>
            <w:fldChar w:fldCharType="end"/>
          </w:r>
        </w:p>
      </w:tc>
    </w:tr>
  </w:tbl>
  <w:p w:rsidR="00CB2C3F" w:rsidRPr="00860FFD" w:rsidRDefault="00C41E04" w:rsidP="00014E44">
    <w:pPr>
      <w:pStyle w:val="Pidipagina"/>
      <w:widowControl w:val="0"/>
      <w:tabs>
        <w:tab w:val="clear" w:pos="4819"/>
        <w:tab w:val="center" w:pos="9356"/>
        <w:tab w:val="left" w:pos="9521"/>
      </w:tabs>
      <w:rPr>
        <w:rFonts w:ascii="Tahoma" w:hAnsi="Tahoma" w:cs="Tahoma"/>
        <w:sz w:val="2"/>
      </w:rPr>
    </w:pPr>
  </w:p>
  <w:p w:rsidR="00CB2C3F" w:rsidRDefault="00C41E04" w:rsidP="00014E44">
    <w:pPr>
      <w:pStyle w:val="Pidipagina"/>
      <w:widowControl w:val="0"/>
    </w:pPr>
  </w:p>
  <w:p w:rsidR="008B00A2" w:rsidRDefault="00C41E04"/>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C41E04"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C41E04"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02DE5"/>
    <w:multiLevelType w:val="multilevel"/>
    <w:tmpl w:val="E3DA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34D3436"/>
    <w:multiLevelType w:val="multilevel"/>
    <w:tmpl w:val="93EA2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430C7E"/>
    <w:multiLevelType w:val="multilevel"/>
    <w:tmpl w:val="E6F29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A527CC1"/>
    <w:multiLevelType w:val="multilevel"/>
    <w:tmpl w:val="9130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1E5234F"/>
    <w:multiLevelType w:val="multilevel"/>
    <w:tmpl w:val="84A4F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EB66866"/>
    <w:multiLevelType w:val="multilevel"/>
    <w:tmpl w:val="C0DC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2D033D9"/>
    <w:multiLevelType w:val="multilevel"/>
    <w:tmpl w:val="74C29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724578E"/>
    <w:multiLevelType w:val="multilevel"/>
    <w:tmpl w:val="3C36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C463D6F"/>
    <w:multiLevelType w:val="multilevel"/>
    <w:tmpl w:val="3C9E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EAE7453"/>
    <w:multiLevelType w:val="multilevel"/>
    <w:tmpl w:val="E654C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A1C722E"/>
    <w:multiLevelType w:val="multilevel"/>
    <w:tmpl w:val="32A67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8"/>
  </w:num>
  <w:num w:numId="4">
    <w:abstractNumId w:val="7"/>
  </w:num>
  <w:num w:numId="5">
    <w:abstractNumId w:val="10"/>
  </w:num>
  <w:num w:numId="6">
    <w:abstractNumId w:val="9"/>
  </w:num>
  <w:num w:numId="7">
    <w:abstractNumId w:val="5"/>
  </w:num>
  <w:num w:numId="8">
    <w:abstractNumId w:val="0"/>
  </w:num>
  <w:num w:numId="9">
    <w:abstractNumId w:val="6"/>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2E5350"/>
    <w:rsid w:val="00082C1E"/>
    <w:rsid w:val="002E5350"/>
    <w:rsid w:val="009F2C77"/>
    <w:rsid w:val="00C41E04"/>
    <w:rsid w:val="00E513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A0C6B9-AF09-44F8-AD19-17F1952E7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2E535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2E535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5350"/>
  </w:style>
  <w:style w:type="paragraph" w:styleId="Pidipagina">
    <w:name w:val="footer"/>
    <w:basedOn w:val="Normale"/>
    <w:link w:val="PidipaginaCarattere"/>
    <w:uiPriority w:val="99"/>
    <w:unhideWhenUsed/>
    <w:rsid w:val="002E535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5350"/>
  </w:style>
  <w:style w:type="paragraph" w:customStyle="1" w:styleId="TFSWorkitem3">
    <w:name w:val="TFS Workitem 3"/>
    <w:next w:val="Normale"/>
    <w:rsid w:val="002E5350"/>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2E5350"/>
    <w:rPr>
      <w:color w:val="0563C1" w:themeColor="hyperlink"/>
      <w:u w:val="single"/>
    </w:rPr>
  </w:style>
  <w:style w:type="character" w:styleId="Testosegnaposto">
    <w:name w:val="Placeholder Text"/>
    <w:basedOn w:val="Carpredefinitoparagrafo"/>
    <w:uiPriority w:val="99"/>
    <w:semiHidden/>
    <w:rsid w:val="002E5350"/>
    <w:rPr>
      <w:color w:val="808080"/>
    </w:rPr>
  </w:style>
  <w:style w:type="paragraph" w:styleId="NormaleWeb">
    <w:name w:val="Normal (Web)"/>
    <w:basedOn w:val="Normale"/>
    <w:uiPriority w:val="99"/>
    <w:semiHidden/>
    <w:unhideWhenUsed/>
    <w:rsid w:val="002E535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27120">
      <w:bodyDiv w:val="1"/>
      <w:marLeft w:val="0"/>
      <w:marRight w:val="0"/>
      <w:marTop w:val="0"/>
      <w:marBottom w:val="0"/>
      <w:divBdr>
        <w:top w:val="none" w:sz="0" w:space="0" w:color="auto"/>
        <w:left w:val="none" w:sz="0" w:space="0" w:color="auto"/>
        <w:bottom w:val="none" w:sz="0" w:space="0" w:color="auto"/>
        <w:right w:val="none" w:sz="0" w:space="0" w:color="auto"/>
      </w:divBdr>
    </w:div>
    <w:div w:id="1751150824">
      <w:bodyDiv w:val="1"/>
      <w:marLeft w:val="0"/>
      <w:marRight w:val="0"/>
      <w:marTop w:val="0"/>
      <w:marBottom w:val="0"/>
      <w:divBdr>
        <w:top w:val="none" w:sz="0" w:space="0" w:color="auto"/>
        <w:left w:val="none" w:sz="0" w:space="0" w:color="auto"/>
        <w:bottom w:val="none" w:sz="0" w:space="0" w:color="auto"/>
        <w:right w:val="none" w:sz="0" w:space="0" w:color="auto"/>
      </w:divBdr>
    </w:div>
    <w:div w:id="1816216806">
      <w:bodyDiv w:val="1"/>
      <w:marLeft w:val="0"/>
      <w:marRight w:val="0"/>
      <w:marTop w:val="0"/>
      <w:marBottom w:val="0"/>
      <w:divBdr>
        <w:top w:val="none" w:sz="0" w:space="0" w:color="auto"/>
        <w:left w:val="none" w:sz="0" w:space="0" w:color="auto"/>
        <w:bottom w:val="none" w:sz="0" w:space="0" w:color="auto"/>
        <w:right w:val="none" w:sz="0" w:space="0" w:color="auto"/>
      </w:divBdr>
      <w:divsChild>
        <w:div w:id="121631439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4759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16635&amp;Rev=62" TargetMode="External"/><Relationship Id="rId11" Type="http://schemas.openxmlformats.org/officeDocument/2006/relationships/glossaryDocument" Target="glossary/document.xml"/><Relationship Id="rId5" Type="http://schemas.openxmlformats.org/officeDocument/2006/relationships/hyperlink" Target="http://tfsprod.mef.gov.it/tfs/web/wi.aspx?pcguid=3386bb2f-8429-493a-9ac0-2b7a589ccf8c&amp;id=1663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6EFB27BB-52FB-4533-8E4C-73A95B1F939F}"/>
      </w:docPartPr>
      <w:docPartBody>
        <w:p w:rsidR="00000000" w:rsidRDefault="003C306A">
          <w:r w:rsidRPr="00413493">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06A"/>
    <w:rsid w:val="003C30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C306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756</Words>
  <Characters>4311</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2020-11-13T09:35:00Z</dcterms:created>
  <dcterms:modified xsi:type="dcterms:W3CDTF">2020-11-13T09:35:00Z</dcterms:modified>
</cp:coreProperties>
</file>